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79375</wp:posOffset>
            </wp:positionH>
            <wp:positionV relativeFrom="paragraph">
              <wp:posOffset>-619125</wp:posOffset>
            </wp:positionV>
            <wp:extent cx="1180465" cy="1169670"/>
            <wp:effectExtent l="0" t="0" r="0" b="0"/>
            <wp:wrapSquare wrapText="largest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spacing w:before="20" w:after="160"/>
        <w:jc w:val="center"/>
        <w:rPr>
          <w:rFonts w:ascii="Trebuchet MS" w:hAnsi="Trebuchet MS" w:eastAsia="Trebuchet MS" w:cs="Trebuchet MS"/>
          <w:b/>
          <w:color w:val="000000"/>
          <w:sz w:val="28"/>
        </w:rPr>
      </w:pPr>
      <w:bookmarkStart w:id="0" w:name="_Hlk193875380"/>
      <w:bookmarkEnd w:id="0"/>
      <w:r>
        <w:rPr>
          <w:rFonts w:eastAsia="Trebuchet MS" w:cs="Trebuchet MS" w:ascii="Trebuchet MS" w:hAnsi="Trebuchet MS"/>
          <w:b/>
          <w:color w:val="000000"/>
          <w:sz w:val="28"/>
        </w:rPr>
        <w:t>ACCORD-CADRE DE FOURNITURES COURANTES ET DE SERVICES</w:t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spacing w:lineRule="exact" w:line="325"/>
        <w:jc w:val="center"/>
        <w:rPr>
          <w:sz w:val="28"/>
          <w:szCs w:val="28"/>
        </w:rPr>
      </w:pPr>
      <w:bookmarkStart w:id="1" w:name="_Hlk193875380"/>
      <w:bookmarkEnd w:id="1"/>
      <w:r>
        <w:rPr>
          <w:rFonts w:eastAsia="Trebuchet MS" w:cs="Trebuchet MS" w:ascii="Liberation Sans" w:hAnsi="Liberation Sans"/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Prestations de contr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 xml:space="preserve">ôles réglementaires des équipements et installations techniques des services de l’État 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 xml:space="preserve">et de diverses administrations 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en Martinique</w:t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tbl>
      <w:tblPr>
        <w:tblW w:w="9645" w:type="dxa"/>
        <w:jc w:val="start"/>
        <w:tblInd w:w="0" w:type="dxa"/>
        <w:tblLayout w:type="fixed"/>
        <w:tblCellMar>
          <w:top w:w="30" w:type="dxa"/>
          <w:start w:w="0" w:type="dxa"/>
          <w:bottom w:w="0" w:type="dxa"/>
          <w:end w:w="0" w:type="dxa"/>
        </w:tblCellMar>
      </w:tblPr>
      <w:tblGrid>
        <w:gridCol w:w="9645"/>
      </w:tblGrid>
      <w:tr>
        <w:trPr/>
        <w:tc>
          <w:tcPr>
            <w:tcW w:w="9645" w:type="dxa"/>
            <w:tcBorders/>
            <w:shd w:fill="666553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rebuchet MS" w:hAnsi="Trebuchet MS" w:eastAsia="Trebuchet MS" w:cs="Trebuchet MS"/>
                <w:b/>
                <w:color w:val="FFFFFF"/>
                <w:sz w:val="28"/>
              </w:rPr>
            </w:pPr>
            <w:r>
              <w:rPr>
                <w:rFonts w:eastAsia="Trebuchet MS" w:cs="Trebuchet MS" w:ascii="Trebuchet MS" w:hAnsi="Trebuchet MS"/>
                <w:b/>
                <w:color w:val="FFFFFF"/>
                <w:sz w:val="28"/>
              </w:rPr>
              <w:t>Cadre de réponse technique</w:t>
            </w:r>
          </w:p>
        </w:tc>
      </w:tr>
    </w:tbl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widowControl/>
        <w:suppressAutoHyphens w:val="false"/>
        <w:overflowPunct w:val="false"/>
        <w:bidi w:val="0"/>
        <w:spacing w:lineRule="auto" w:line="259" w:before="0" w:after="160"/>
        <w:ind w:hanging="0" w:start="510" w:end="0"/>
        <w:jc w:val="both"/>
        <w:textAlignment w:val="baseline"/>
        <w:rPr/>
      </w:pPr>
      <w:r>
        <w:fldChar w:fldCharType="begin">
          <w:ffData>
            <w:name w:val="Unnamed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" w:name="Unnamed"/>
      <w:bookmarkStart w:id="3" w:name="Unnamed"/>
      <w:bookmarkEnd w:id="3"/>
      <w:r>
        <w:rPr/>
      </w:r>
      <w:r>
        <w:rPr/>
        <w:fldChar w:fldCharType="end"/>
      </w:r>
      <w:r>
        <w:rPr>
          <w:rFonts w:cs="Marianne" w:ascii="Marianne" w:hAnsi="Marianne"/>
        </w:rPr>
        <w:t xml:space="preserve">  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 xml:space="preserve">Lot 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n°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1 Plaque A</w:t>
      </w:r>
    </w:p>
    <w:p>
      <w:pPr>
        <w:pStyle w:val="Normal"/>
        <w:widowControl/>
        <w:suppressAutoHyphens w:val="false"/>
        <w:overflowPunct w:val="false"/>
        <w:bidi w:val="0"/>
        <w:spacing w:lineRule="auto" w:line="259" w:before="0" w:after="160"/>
        <w:ind w:hanging="0" w:start="510" w:end="0"/>
        <w:jc w:val="both"/>
        <w:textAlignment w:val="baseline"/>
        <w:rPr/>
      </w:pPr>
      <w:r>
        <w:rPr/>
      </w:r>
    </w:p>
    <w:p>
      <w:pPr>
        <w:pStyle w:val="Normal"/>
        <w:widowControl/>
        <w:suppressAutoHyphens w:val="false"/>
        <w:overflowPunct w:val="false"/>
        <w:bidi w:val="0"/>
        <w:spacing w:lineRule="auto" w:line="259" w:before="0" w:after="160"/>
        <w:ind w:hanging="0" w:start="510" w:end="0"/>
        <w:jc w:val="both"/>
        <w:textAlignment w:val="baseline"/>
        <w:rPr/>
      </w:pPr>
      <w:r>
        <w:fldChar w:fldCharType="begin">
          <w:ffData>
            <w:name w:val="Unnamed Copie 1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4" w:name="Unnamed_Copie_1"/>
      <w:bookmarkStart w:id="5" w:name="Unnamed_Copie_1"/>
      <w:bookmarkEnd w:id="5"/>
      <w:r>
        <w:rPr/>
      </w:r>
      <w:r>
        <w:rPr/>
        <w:fldChar w:fldCharType="end"/>
      </w:r>
      <w:r>
        <w:rPr>
          <w:rFonts w:eastAsia="Calibri" w:cs="Marianne" w:ascii="Marianne" w:hAnsi="Marianne"/>
          <w:bCs/>
          <w:u w:val="none"/>
          <w:lang w:eastAsia="en-US"/>
        </w:rPr>
        <w:t xml:space="preserve"> 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 xml:space="preserve"> Lot 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n°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2 Plaque B</w:t>
      </w:r>
    </w:p>
    <w:p>
      <w:pPr>
        <w:pStyle w:val="Normal"/>
        <w:suppressAutoHyphens w:val="false"/>
        <w:overflowPunct w:val="false"/>
        <w:jc w:val="both"/>
        <w:textAlignment w:val="baseline"/>
        <w:rPr>
          <w:rFonts w:ascii="Marianne" w:hAnsi="Marianne" w:eastAsia="Calibri" w:cs="Marianne"/>
          <w:bCs/>
          <w:u w:val="single"/>
          <w:lang w:eastAsia="en-US"/>
        </w:rPr>
      </w:pPr>
      <w:r>
        <w:rPr/>
      </w:r>
    </w:p>
    <w:p>
      <w:pPr>
        <w:pStyle w:val="Normal"/>
        <w:suppressAutoHyphens w:val="false"/>
        <w:overflowPunct w:val="false"/>
        <w:jc w:val="both"/>
        <w:textAlignment w:val="baseline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Heading2"/>
        <w:numPr>
          <w:ilvl w:val="0"/>
          <w:numId w:val="0"/>
        </w:numPr>
        <w:ind w:hanging="576" w:start="576" w:end="-143"/>
        <w:jc w:val="star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widowControl/>
        <w:spacing w:lineRule="auto" w:line="259"/>
        <w:jc w:val="start"/>
        <w:rPr>
          <w:rFonts w:ascii="Arial" w:hAnsi="Arial" w:eastAsia="Times New Roman" w:cs="Arial"/>
          <w:b/>
          <w:sz w:val="24"/>
          <w:szCs w:val="24"/>
          <w:lang w:eastAsia="ar-SA"/>
        </w:rPr>
      </w:pPr>
      <w:r>
        <w:rPr/>
      </w:r>
      <w:r>
        <w:br w:type="page"/>
      </w:r>
    </w:p>
    <w:p>
      <w:pPr>
        <w:pStyle w:val="ListParagraph"/>
        <w:numPr>
          <w:ilvl w:val="0"/>
          <w:numId w:val="2"/>
        </w:numPr>
        <w:rPr>
          <w:rFonts w:ascii="Arial" w:hAnsi="Arial"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 w:ascii="Arial" w:hAnsi="Arial"/>
          <w:b/>
          <w:sz w:val="24"/>
          <w:szCs w:val="24"/>
          <w:lang w:eastAsia="ar-SA"/>
        </w:rPr>
        <w:t>Description des moyens humains et matériels affectés au marché</w:t>
      </w:r>
    </w:p>
    <w:p>
      <w:pPr>
        <w:pStyle w:val="Header"/>
        <w:numPr>
          <w:ilvl w:val="1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Organisation générale de la société</w:t>
      </w:r>
    </w:p>
    <w:p>
      <w:pPr>
        <w:pStyle w:val="Header"/>
        <w:tabs>
          <w:tab w:val="clear" w:pos="4536"/>
          <w:tab w:val="clear" w:pos="9072"/>
        </w:tabs>
        <w:ind w:start="750"/>
        <w:jc w:val="both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Faire une note méthodologique sur l’organisation mise en place par le candidat pour prendre en charge et mettre en œuvre le marché</w:t>
      </w:r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Header"/>
        <w:numPr>
          <w:ilvl w:val="1"/>
          <w:numId w:val="2"/>
        </w:numPr>
        <w:tabs>
          <w:tab w:val="clear" w:pos="4536"/>
          <w:tab w:val="clear" w:pos="9072"/>
        </w:tabs>
        <w:ind w:hanging="432" w:start="708"/>
        <w:jc w:val="both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Description des "savoir-faire" de l'entreprise dans le domaine d'activité relatif au présent marché</w:t>
      </w:r>
    </w:p>
    <w:p>
      <w:pPr>
        <w:pStyle w:val="Header"/>
        <w:tabs>
          <w:tab w:val="clear" w:pos="4536"/>
          <w:tab w:val="clear" w:pos="9072"/>
        </w:tabs>
        <w:ind w:start="708"/>
        <w:jc w:val="both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Header"/>
        <w:numPr>
          <w:ilvl w:val="1"/>
          <w:numId w:val="2"/>
        </w:numPr>
        <w:tabs>
          <w:tab w:val="clear" w:pos="4536"/>
          <w:tab w:val="clear" w:pos="9072"/>
        </w:tabs>
        <w:ind w:hanging="425" w:start="709"/>
        <w:jc w:val="both"/>
        <w:rPr/>
      </w:pPr>
      <w:r>
        <w:rPr>
          <w:rFonts w:cs="Arial" w:ascii="Arial" w:hAnsi="Arial"/>
          <w:b/>
          <w:sz w:val="20"/>
        </w:rPr>
        <w:t xml:space="preserve">Moyens humains </w:t>
      </w:r>
      <w:r>
        <w:rPr>
          <w:rFonts w:cs="Arial" w:ascii="Arial" w:hAnsi="Arial"/>
          <w:b/>
          <w:sz w:val="20"/>
        </w:rPr>
        <w:t>a</w:t>
      </w:r>
      <w:r>
        <w:rPr>
          <w:rFonts w:cs="Arial" w:ascii="Arial" w:hAnsi="Arial"/>
          <w:b/>
          <w:sz w:val="20"/>
        </w:rPr>
        <w:t>ffectés au marché</w:t>
      </w:r>
    </w:p>
    <w:p>
      <w:pPr>
        <w:pStyle w:val="Header"/>
        <w:tabs>
          <w:tab w:val="clear" w:pos="4536"/>
          <w:tab w:val="clear" w:pos="9072"/>
        </w:tabs>
        <w:ind w:start="750"/>
        <w:jc w:val="both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bookmarkStart w:id="6" w:name="_Hlk144806311"/>
      <w:r>
        <w:rPr>
          <w:rFonts w:cs="Arial" w:ascii="Arial" w:hAnsi="Arial"/>
          <w:sz w:val="20"/>
        </w:rPr>
        <w:t>Fournir tous les éléments descriptifs permettant l’appréciation des moyens humains affectés à l’exécution du marché</w:t>
      </w:r>
      <w:bookmarkEnd w:id="6"/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Header"/>
        <w:tabs>
          <w:tab w:val="clear" w:pos="4536"/>
          <w:tab w:val="clear" w:pos="9072"/>
        </w:tabs>
        <w:ind w:firstLine="708"/>
        <w:jc w:val="both"/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  <w:t>Peuvent-être développés ici :</w:t>
      </w:r>
    </w:p>
    <w:p>
      <w:pPr>
        <w:pStyle w:val="Header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Fonctions, effectifs, localisation, niveaux de formation, expériences, anciennetés dans la société, statuts…,</w:t>
      </w:r>
    </w:p>
    <w:p>
      <w:pPr>
        <w:pStyle w:val="Header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Titres habilitations, formations, certificats (secourisme, prévention…), acquis de l'expérience...,</w:t>
      </w:r>
    </w:p>
    <w:p>
      <w:pPr>
        <w:pStyle w:val="Header"/>
        <w:tabs>
          <w:tab w:val="clear" w:pos="4536"/>
          <w:tab w:val="clear" w:pos="9072"/>
        </w:tabs>
        <w:ind w:firstLine="708" w:start="708"/>
        <w:jc w:val="both"/>
        <w:rPr>
          <w:rFonts w:ascii="Arial" w:hAnsi="Arial" w:cs="Arial"/>
          <w:sz w:val="20"/>
        </w:rPr>
      </w:pPr>
      <w:bookmarkStart w:id="7" w:name="_Hlk144806523"/>
      <w:bookmarkEnd w:id="7"/>
      <w:r>
        <w:rPr>
          <w:rFonts w:cs="Arial" w:ascii="Arial" w:hAnsi="Arial"/>
          <w:sz w:val="20"/>
        </w:rPr>
        <w:t>Ainsi que tout renseignement jugé utile.</w:t>
      </w:r>
    </w:p>
    <w:p>
      <w:pPr>
        <w:pStyle w:val="Header"/>
        <w:tabs>
          <w:tab w:val="clear" w:pos="4536"/>
          <w:tab w:val="clear" w:pos="9072"/>
        </w:tabs>
        <w:ind w:firstLine="708" w:start="708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  <w:bookmarkStart w:id="8" w:name="_Hlk144806523"/>
      <w:bookmarkStart w:id="9" w:name="_Hlk144806523"/>
      <w:bookmarkEnd w:id="9"/>
    </w:p>
    <w:p>
      <w:pPr>
        <w:pStyle w:val="Header"/>
        <w:tabs>
          <w:tab w:val="clear" w:pos="4536"/>
          <w:tab w:val="clear" w:pos="9072"/>
        </w:tabs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</w:r>
    </w:p>
    <w:tbl>
      <w:tblPr>
        <w:tblW w:w="10087" w:type="dxa"/>
        <w:jc w:val="start"/>
        <w:tblInd w:w="-182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2160"/>
        <w:gridCol w:w="1130"/>
        <w:gridCol w:w="1140"/>
        <w:gridCol w:w="1080"/>
        <w:gridCol w:w="1190"/>
        <w:gridCol w:w="1380"/>
        <w:gridCol w:w="2007"/>
      </w:tblGrid>
      <w:tr>
        <w:trPr>
          <w:trHeight w:val="344" w:hRule="atLeast"/>
        </w:trPr>
        <w:tc>
          <w:tcPr>
            <w:tcW w:w="10087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rPr>
                <w:rFonts w:ascii="Arial" w:hAnsi="Arial"/>
                <w:b/>
                <w:szCs w:val="22"/>
              </w:rPr>
            </w:pPr>
            <w:r>
              <w:rPr>
                <w:rFonts w:ascii="Arial" w:hAnsi="Arial"/>
                <w:b/>
                <w:szCs w:val="22"/>
              </w:rPr>
              <w:t>Moyens humains</w:t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Nature des prestations</w:t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Technicien</w:t>
            </w:r>
          </w:p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Titulaire</w:t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Ancienneté</w:t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Technicien</w:t>
            </w:r>
          </w:p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Suppléant</w:t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Ancienneté</w:t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Certificat(s) de compétence</w:t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Observations</w:t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Installations électriques</w:t>
            </w:r>
          </w:p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/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Ascenseurs</w:t>
            </w:r>
          </w:p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SSI</w:t>
            </w:r>
          </w:p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Climatiseurs – Pompes à chaleur réversibles</w:t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Rendements et rejets atmosphériques. Régulations P&gt; 400 kW</w:t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Appareils de cuisson</w:t>
            </w:r>
          </w:p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Gaz et Combustible</w:t>
            </w:r>
          </w:p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Disconnecteurs</w:t>
            </w:r>
          </w:p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  <w:tr>
        <w:trPr>
          <w:trHeight w:val="629" w:hRule="atLeast"/>
        </w:trPr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Appareils et accessoires de levage</w:t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Équipements de travail Machines</w:t>
            </w:r>
          </w:p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Aire de Jeux</w:t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  <w:tr>
        <w:trPr/>
        <w:tc>
          <w:tcPr>
            <w:tcW w:w="2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Pylônes</w:t>
            </w:r>
          </w:p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138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  <w:tc>
          <w:tcPr>
            <w:tcW w:w="20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Header"/>
              <w:tabs>
                <w:tab w:val="clear" w:pos="4536"/>
                <w:tab w:val="clear" w:pos="9072"/>
              </w:tabs>
              <w:spacing w:lineRule="auto" w:line="27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</w:tbl>
    <w:p>
      <w:pPr>
        <w:pStyle w:val="Header"/>
        <w:tabs>
          <w:tab w:val="clear" w:pos="4536"/>
          <w:tab w:val="clear" w:pos="9072"/>
        </w:tabs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</w:r>
    </w:p>
    <w:p>
      <w:pPr>
        <w:pStyle w:val="Header"/>
        <w:tabs>
          <w:tab w:val="clear" w:pos="4536"/>
          <w:tab w:val="clear" w:pos="9072"/>
        </w:tabs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</w:r>
    </w:p>
    <w:p>
      <w:pPr>
        <w:pStyle w:val="Header"/>
        <w:tabs>
          <w:tab w:val="clear" w:pos="4536"/>
          <w:tab w:val="clear" w:pos="9072"/>
        </w:tabs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</w:r>
    </w:p>
    <w:p>
      <w:pPr>
        <w:pStyle w:val="Header"/>
        <w:numPr>
          <w:ilvl w:val="1"/>
          <w:numId w:val="2"/>
        </w:numPr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 xml:space="preserve">Moyens matériels </w:t>
      </w:r>
      <w:r>
        <w:rPr>
          <w:rFonts w:cs="Arial" w:ascii="Arial" w:hAnsi="Arial"/>
          <w:b/>
          <w:sz w:val="20"/>
        </w:rPr>
        <w:t>a</w:t>
      </w:r>
      <w:r>
        <w:rPr>
          <w:rFonts w:cs="Arial" w:ascii="Arial" w:hAnsi="Arial"/>
          <w:b/>
          <w:sz w:val="20"/>
        </w:rPr>
        <w:t>ffectés au marché</w:t>
      </w:r>
    </w:p>
    <w:p>
      <w:pPr>
        <w:pStyle w:val="Header"/>
        <w:tabs>
          <w:tab w:val="clear" w:pos="4536"/>
          <w:tab w:val="clear" w:pos="9072"/>
        </w:tabs>
        <w:ind w:start="75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Fournir tous les éléments descriptifs permettant l’appréciation des moyens matériels affectés à l’exécution du marché</w:t>
      </w:r>
    </w:p>
    <w:p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Header"/>
        <w:tabs>
          <w:tab w:val="clear" w:pos="4536"/>
          <w:tab w:val="clear" w:pos="9072"/>
        </w:tabs>
        <w:ind w:firstLine="708"/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  <w:t>Peuvent-être développés ici :</w:t>
      </w:r>
    </w:p>
    <w:p>
      <w:pPr>
        <w:pStyle w:val="Header"/>
        <w:numPr>
          <w:ilvl w:val="0"/>
          <w:numId w:val="8"/>
        </w:numPr>
        <w:tabs>
          <w:tab w:val="clear" w:pos="4536"/>
          <w:tab w:val="clear" w:pos="9072"/>
        </w:tabs>
        <w:ind w:hanging="360" w:start="141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Les équipements et appareils de mesures, d’observations à disposition de la société. Ainsi que tout renseignement jugé utile.</w:t>
      </w:r>
    </w:p>
    <w:p>
      <w:pPr>
        <w:pStyle w:val="Header"/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</w:r>
    </w:p>
    <w:p>
      <w:pPr>
        <w:pStyle w:val="Header"/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</w:r>
    </w:p>
    <w:p>
      <w:pPr>
        <w:pStyle w:val="ListParagraph"/>
        <w:numPr>
          <w:ilvl w:val="0"/>
          <w:numId w:val="2"/>
        </w:numPr>
        <w:rPr>
          <w:rFonts w:ascii="Arial" w:hAnsi="Arial"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 w:ascii="Arial" w:hAnsi="Arial"/>
          <w:b/>
          <w:sz w:val="24"/>
          <w:szCs w:val="24"/>
          <w:lang w:eastAsia="ar-SA"/>
        </w:rPr>
        <w:t>Gestion et organisation des contrôles</w:t>
      </w:r>
    </w:p>
    <w:p>
      <w:pPr>
        <w:pStyle w:val="ListParagraph"/>
        <w:ind w:start="360"/>
        <w:jc w:val="both"/>
        <w:rPr>
          <w:rFonts w:ascii="Arial" w:hAnsi="Arial"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 w:ascii="Arial" w:hAnsi="Arial"/>
          <w:b/>
          <w:sz w:val="24"/>
          <w:szCs w:val="24"/>
          <w:lang w:eastAsia="ar-SA"/>
        </w:rPr>
      </w:r>
    </w:p>
    <w:p>
      <w:pPr>
        <w:pStyle w:val="ListParagraph"/>
        <w:widowControl/>
        <w:numPr>
          <w:ilvl w:val="1"/>
          <w:numId w:val="2"/>
        </w:numPr>
        <w:bidi w:val="0"/>
        <w:spacing w:lineRule="auto" w:line="259" w:before="280" w:after="280"/>
        <w:ind w:hanging="454" w:start="794" w:end="0"/>
        <w:contextualSpacing/>
        <w:jc w:val="both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>Délais et formalisation pour la communication d’un planning prévisionnel pour l’ensemble des sites.</w:t>
      </w:r>
    </w:p>
    <w:p>
      <w:pPr>
        <w:pStyle w:val="ListParagraph"/>
        <w:spacing w:before="280" w:after="280"/>
        <w:ind w:start="360"/>
        <w:contextualSpacing/>
        <w:jc w:val="both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ListParagraph"/>
        <w:numPr>
          <w:ilvl w:val="1"/>
          <w:numId w:val="2"/>
        </w:numPr>
        <w:spacing w:before="280" w:after="280"/>
        <w:contextualSpacing/>
        <w:jc w:val="both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>Délais de réception des rapports, à compter de la fin de la date de visite du site / bâtiment</w:t>
      </w:r>
    </w:p>
    <w:p>
      <w:pPr>
        <w:pStyle w:val="ListParagraph"/>
        <w:ind w:firstLine="696" w:start="732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  <w:t xml:space="preserve">Engagement de l'entreprise : Cocher la case correspondante </w:t>
        <w:tab/>
      </w:r>
    </w:p>
    <w:p>
      <w:pPr>
        <w:pStyle w:val="ListParagraph"/>
        <w:ind w:firstLine="696" w:start="732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ListParagraph"/>
        <w:numPr>
          <w:ilvl w:val="0"/>
          <w:numId w:val="6"/>
        </w:numPr>
        <w:ind w:hanging="360" w:start="1788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>Moins de 05 jours</w:t>
        <w:tab/>
        <w:tab/>
        <w:tab/>
        <w:tab/>
        <w:tab/>
        <w:tab/>
        <w:tab/>
      </w:r>
      <w:r>
        <w:rPr>
          <w:rFonts w:eastAsia="Wingdings" w:cs="Wingdings" w:ascii="Wingdings" w:hAnsi="Wingdings"/>
          <w:sz w:val="20"/>
          <w:szCs w:val="20"/>
          <w:lang w:eastAsia="fr-FR"/>
        </w:rPr>
        <w:sym w:font="Wingdings" w:char="f0a8"/>
      </w:r>
    </w:p>
    <w:p>
      <w:pPr>
        <w:pStyle w:val="ListParagraph"/>
        <w:numPr>
          <w:ilvl w:val="0"/>
          <w:numId w:val="6"/>
        </w:numPr>
        <w:ind w:hanging="360" w:start="1788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>Moins de 10 jours</w:t>
        <w:tab/>
        <w:tab/>
        <w:tab/>
        <w:tab/>
        <w:tab/>
        <w:tab/>
        <w:tab/>
      </w:r>
      <w:r>
        <w:rPr>
          <w:rFonts w:eastAsia="Wingdings" w:cs="Wingdings" w:ascii="Wingdings" w:hAnsi="Wingdings"/>
          <w:sz w:val="20"/>
          <w:szCs w:val="20"/>
          <w:lang w:eastAsia="fr-FR"/>
        </w:rPr>
        <w:sym w:font="Wingdings" w:char="f0a8"/>
      </w:r>
      <w:r>
        <w:rPr>
          <w:rFonts w:cs="Arial" w:ascii="Arial" w:hAnsi="Arial"/>
          <w:sz w:val="20"/>
          <w:szCs w:val="20"/>
          <w:lang w:eastAsia="fr-FR"/>
        </w:rPr>
        <w:tab/>
      </w:r>
    </w:p>
    <w:p>
      <w:pPr>
        <w:pStyle w:val="ListParagraph"/>
        <w:numPr>
          <w:ilvl w:val="0"/>
          <w:numId w:val="6"/>
        </w:numPr>
        <w:ind w:hanging="360" w:start="1788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>Moins de 15 jours</w:t>
        <w:tab/>
        <w:tab/>
        <w:tab/>
        <w:tab/>
        <w:tab/>
        <w:tab/>
        <w:tab/>
      </w:r>
      <w:r>
        <w:rPr>
          <w:rFonts w:eastAsia="Wingdings" w:cs="Wingdings" w:ascii="Wingdings" w:hAnsi="Wingdings"/>
          <w:sz w:val="20"/>
          <w:szCs w:val="20"/>
          <w:lang w:eastAsia="fr-FR"/>
        </w:rPr>
        <w:sym w:font="Wingdings" w:char="f0a8"/>
      </w:r>
      <w:r>
        <w:rPr>
          <w:rFonts w:cs="Arial" w:ascii="Arial" w:hAnsi="Arial"/>
          <w:sz w:val="20"/>
          <w:szCs w:val="20"/>
          <w:lang w:eastAsia="fr-FR"/>
        </w:rPr>
        <w:tab/>
      </w:r>
    </w:p>
    <w:p>
      <w:pPr>
        <w:pStyle w:val="ListParagraph"/>
        <w:numPr>
          <w:ilvl w:val="0"/>
          <w:numId w:val="6"/>
        </w:numPr>
        <w:ind w:hanging="360" w:start="1788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 xml:space="preserve">Moins de 20 jours </w:t>
        <w:tab/>
        <w:tab/>
        <w:tab/>
        <w:tab/>
        <w:tab/>
        <w:tab/>
        <w:tab/>
      </w:r>
      <w:r>
        <w:rPr>
          <w:rFonts w:eastAsia="Wingdings" w:cs="Wingdings" w:ascii="Wingdings" w:hAnsi="Wingdings"/>
          <w:sz w:val="20"/>
          <w:szCs w:val="20"/>
          <w:lang w:eastAsia="fr-FR"/>
        </w:rPr>
        <w:sym w:font="Wingdings" w:char="f0a8"/>
      </w:r>
      <w:r>
        <w:rPr>
          <w:rFonts w:cs="Arial" w:ascii="Arial" w:hAnsi="Arial"/>
          <w:sz w:val="20"/>
          <w:szCs w:val="20"/>
          <w:lang w:eastAsia="fr-FR"/>
        </w:rPr>
        <w:tab/>
      </w:r>
    </w:p>
    <w:p>
      <w:pPr>
        <w:pStyle w:val="ListParagraph"/>
        <w:spacing w:before="280" w:after="280"/>
        <w:ind w:start="792"/>
        <w:contextualSpacing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ListParagraph"/>
        <w:spacing w:before="280" w:after="280"/>
        <w:ind w:start="792"/>
        <w:contextualSpacing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59"/>
        <w:ind w:hanging="0" w:start="360"/>
        <w:jc w:val="start"/>
        <w:rPr>
          <w:rFonts w:ascii="Arial" w:hAnsi="Arial"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 w:ascii="Arial" w:hAnsi="Arial"/>
          <w:b/>
          <w:sz w:val="24"/>
          <w:szCs w:val="24"/>
          <w:lang w:eastAsia="ar-SA"/>
        </w:rPr>
        <w:t>3. Plateforme Extranet. Gestion documentaire. Document de présentation à détailler en annexe avec ses fonctionnalités.</w:t>
      </w:r>
      <w:bookmarkStart w:id="10" w:name="_GoBack"/>
      <w:bookmarkEnd w:id="10"/>
    </w:p>
    <w:p>
      <w:pPr>
        <w:pStyle w:val="Normal"/>
        <w:spacing w:before="240" w:after="280"/>
        <w:ind w:start="792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ListParagraph"/>
        <w:numPr>
          <w:ilvl w:val="0"/>
          <w:numId w:val="7"/>
        </w:numPr>
        <w:rPr/>
      </w:pPr>
      <w:r>
        <w:rPr>
          <w:rFonts w:eastAsia="Times New Roman" w:cs="Arial" w:ascii="Arial" w:hAnsi="Arial"/>
          <w:b/>
          <w:sz w:val="24"/>
          <w:szCs w:val="24"/>
          <w:lang w:eastAsia="ar-SA"/>
        </w:rPr>
        <w:t xml:space="preserve">Description des différents processus ou systèmes de gestion et de management </w:t>
      </w:r>
      <w:bookmarkStart w:id="11" w:name="_Toc506562864"/>
      <w:r>
        <w:rPr>
          <w:rFonts w:eastAsia="Times New Roman" w:cs="Arial" w:ascii="Arial" w:hAnsi="Arial"/>
          <w:b/>
          <w:sz w:val="24"/>
          <w:szCs w:val="24"/>
          <w:lang w:eastAsia="ar-SA"/>
        </w:rPr>
        <w:t>pour l'environnement</w:t>
      </w:r>
      <w:bookmarkEnd w:id="11"/>
      <w:r>
        <w:rPr>
          <w:rFonts w:eastAsia="Times New Roman" w:cs="Arial" w:ascii="Arial" w:hAnsi="Arial"/>
          <w:b/>
          <w:sz w:val="24"/>
          <w:szCs w:val="24"/>
          <w:lang w:eastAsia="ar-SA"/>
        </w:rPr>
        <w:t xml:space="preserve"> et le développement durable</w:t>
      </w:r>
    </w:p>
    <w:p>
      <w:pPr>
        <w:pStyle w:val="Normal"/>
        <w:keepLines/>
        <w:widowControl w:val="false"/>
        <w:spacing w:before="240" w:after="160"/>
        <w:ind w:firstLine="708" w:end="-1"/>
        <w:contextualSpacing/>
        <w:jc w:val="both"/>
        <w:rPr>
          <w:rFonts w:ascii="Arial" w:hAnsi="Arial" w:cs="Arial"/>
          <w:i/>
          <w:i/>
          <w:color w:val="404040"/>
          <w:sz w:val="20"/>
          <w:szCs w:val="20"/>
          <w:lang w:eastAsia="fr-FR"/>
        </w:rPr>
      </w:pPr>
      <w:r>
        <w:rPr>
          <w:rFonts w:cs="Arial" w:ascii="Arial" w:hAnsi="Arial"/>
          <w:i/>
          <w:color w:val="404040"/>
          <w:sz w:val="20"/>
          <w:szCs w:val="20"/>
          <w:lang w:eastAsia="fr-FR"/>
        </w:rPr>
        <w:t>Peuvent-être développé</w:t>
      </w:r>
      <w:r>
        <w:rPr>
          <w:rFonts w:cs="Arial" w:ascii="Arial" w:hAnsi="Arial"/>
          <w:i/>
          <w:color w:val="404040"/>
          <w:sz w:val="20"/>
          <w:szCs w:val="20"/>
          <w:lang w:eastAsia="fr-FR"/>
        </w:rPr>
        <w:t>s</w:t>
      </w:r>
      <w:r>
        <w:rPr>
          <w:rFonts w:cs="Arial" w:ascii="Arial" w:hAnsi="Arial"/>
          <w:i/>
          <w:color w:val="404040"/>
          <w:sz w:val="20"/>
          <w:szCs w:val="20"/>
          <w:lang w:eastAsia="fr-FR"/>
        </w:rPr>
        <w:t xml:space="preserve"> ici :</w:t>
      </w:r>
    </w:p>
    <w:p>
      <w:pPr>
        <w:pStyle w:val="Normal"/>
        <w:keepLines/>
        <w:widowControl w:val="false"/>
        <w:numPr>
          <w:ilvl w:val="0"/>
          <w:numId w:val="3"/>
        </w:numPr>
        <w:spacing w:lineRule="auto" w:line="240" w:before="0" w:after="0"/>
        <w:ind w:hanging="357" w:start="1380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>Processus établis dans la société, certifications,</w:t>
      </w:r>
    </w:p>
    <w:p>
      <w:pPr>
        <w:pStyle w:val="Normal"/>
        <w:keepLines/>
        <w:widowControl w:val="false"/>
        <w:numPr>
          <w:ilvl w:val="0"/>
          <w:numId w:val="3"/>
        </w:numPr>
        <w:spacing w:lineRule="auto" w:line="240" w:before="0" w:after="0"/>
        <w:ind w:hanging="357" w:start="1380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>Actions entreprises dans la société pour la thématique dans la cadre de l’exécution du marché. Par exemple :</w:t>
      </w:r>
    </w:p>
    <w:p>
      <w:pPr>
        <w:pStyle w:val="Normal"/>
        <w:keepLines/>
        <w:widowControl w:val="false"/>
        <w:spacing w:lineRule="auto" w:line="240" w:before="0" w:after="0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</w:r>
    </w:p>
    <w:p>
      <w:pPr>
        <w:pStyle w:val="Normal"/>
        <w:keepLines/>
        <w:widowControl w:val="false"/>
        <w:numPr>
          <w:ilvl w:val="1"/>
          <w:numId w:val="4"/>
        </w:numPr>
        <w:spacing w:lineRule="auto" w:line="240" w:before="0" w:after="0"/>
        <w:ind w:hanging="360" w:start="2148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>Mode et moyens de transport ou de déplacement,</w:t>
      </w:r>
    </w:p>
    <w:p>
      <w:pPr>
        <w:pStyle w:val="Normal"/>
        <w:keepLines/>
        <w:widowControl w:val="false"/>
        <w:numPr>
          <w:ilvl w:val="3"/>
          <w:numId w:val="4"/>
        </w:numPr>
        <w:spacing w:lineRule="auto" w:line="240" w:before="0" w:after="0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>Eco-conduite</w:t>
      </w:r>
    </w:p>
    <w:p>
      <w:pPr>
        <w:pStyle w:val="Normal"/>
        <w:keepLines/>
        <w:widowControl w:val="false"/>
        <w:numPr>
          <w:ilvl w:val="3"/>
          <w:numId w:val="4"/>
        </w:numPr>
        <w:spacing w:lineRule="auto" w:line="240" w:before="0" w:after="0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 xml:space="preserve">Optimisation des déplacements </w:t>
      </w:r>
    </w:p>
    <w:p>
      <w:pPr>
        <w:pStyle w:val="Normal"/>
        <w:keepLines/>
        <w:widowControl w:val="false"/>
        <w:numPr>
          <w:ilvl w:val="1"/>
          <w:numId w:val="4"/>
        </w:numPr>
        <w:spacing w:lineRule="auto" w:line="240" w:before="0" w:after="0"/>
        <w:ind w:hanging="360" w:start="2148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 xml:space="preserve">...  </w:t>
      </w:r>
    </w:p>
    <w:p>
      <w:pPr>
        <w:pStyle w:val="Normal"/>
        <w:keepLines/>
        <w:widowControl w:val="false"/>
        <w:spacing w:lineRule="auto" w:line="240" w:before="0" w:after="0"/>
        <w:ind w:firstLine="708" w:start="708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  <w:t>Tout renseignement jugé utile.</w:t>
      </w:r>
    </w:p>
    <w:p>
      <w:pPr>
        <w:pStyle w:val="Normal"/>
        <w:widowControl w:val="false"/>
        <w:spacing w:lineRule="auto" w:line="240" w:before="0" w:after="0"/>
        <w:ind w:firstLine="708" w:start="708"/>
        <w:jc w:val="both"/>
        <w:rPr>
          <w:rFonts w:ascii="Arial" w:hAnsi="Arial" w:cs="Arial"/>
          <w:sz w:val="20"/>
          <w:szCs w:val="20"/>
          <w:lang w:eastAsia="fr-FR"/>
        </w:rPr>
      </w:pPr>
      <w:r>
        <w:rPr/>
      </w:r>
    </w:p>
    <w:p>
      <w:pPr>
        <w:pStyle w:val="Normal"/>
        <w:widowControl w:val="false"/>
        <w:bidi w:val="0"/>
        <w:spacing w:lineRule="auto" w:line="240" w:before="0" w:after="0"/>
        <w:ind w:hanging="0" w:start="170" w:end="0"/>
        <w:jc w:val="both"/>
        <w:rPr/>
      </w:pPr>
      <w:r>
        <w:rPr>
          <w:rFonts w:ascii="Arial" w:hAnsi="Arial"/>
          <w:b w:val="false"/>
          <w:bCs w:val="false"/>
          <w:sz w:val="24"/>
          <w:szCs w:val="24"/>
        </w:rPr>
        <w:t>4.</w:t>
      </w:r>
      <w:r>
        <w:rPr>
          <w:rFonts w:ascii="Arial" w:hAnsi="Arial"/>
          <w:b/>
          <w:bCs/>
          <w:sz w:val="24"/>
          <w:szCs w:val="24"/>
        </w:rPr>
        <w:tab/>
        <w:t xml:space="preserve">Intégration de personnes éloignées de l’emploi (jeunes, senior, </w:t>
        <w:tab/>
        <w:t xml:space="preserve">handicapés, chômeurs de longue durée, scolaire en décrochage, stagiaire </w:t>
        <w:tab/>
        <w:t>scolaire ou étudiant)</w:t>
      </w:r>
    </w:p>
    <w:p>
      <w:pPr>
        <w:pStyle w:val="Normal"/>
        <w:widowControl w:val="false"/>
        <w:bidi w:val="0"/>
        <w:spacing w:lineRule="auto" w:line="240" w:before="0" w:after="0"/>
        <w:ind w:hanging="0" w:start="170" w:end="0"/>
        <w:jc w:val="both"/>
        <w:rPr>
          <w:rFonts w:ascii="Arial" w:hAnsi="Arial"/>
          <w:b/>
          <w:bCs/>
          <w:sz w:val="24"/>
          <w:szCs w:val="24"/>
        </w:rPr>
      </w:pPr>
      <w:r>
        <w:rPr/>
      </w:r>
    </w:p>
    <w:p>
      <w:pPr>
        <w:pStyle w:val="Normal"/>
        <w:widowControl w:val="false"/>
        <w:bidi w:val="0"/>
        <w:spacing w:lineRule="auto" w:line="240" w:before="0" w:after="0"/>
        <w:ind w:hanging="0" w:start="170" w:end="0"/>
        <w:jc w:val="both"/>
        <w:rPr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S</w:t>
      </w:r>
      <w:r>
        <w:rPr>
          <w:rFonts w:ascii="Arial" w:hAnsi="Arial"/>
          <w:b w:val="false"/>
          <w:bCs w:val="false"/>
          <w:sz w:val="20"/>
          <w:szCs w:val="20"/>
        </w:rPr>
        <w:t>exe, age, profil, temps pass</w:t>
      </w:r>
      <w:r>
        <w:rPr>
          <w:rFonts w:ascii="Arial" w:hAnsi="Arial"/>
          <w:b w:val="false"/>
          <w:bCs w:val="false"/>
          <w:sz w:val="20"/>
          <w:szCs w:val="20"/>
        </w:rPr>
        <w:t>é</w:t>
      </w:r>
      <w:r>
        <w:rPr>
          <w:rFonts w:ascii="Arial" w:hAnsi="Arial"/>
          <w:b w:val="false"/>
          <w:bCs w:val="false"/>
          <w:sz w:val="20"/>
          <w:szCs w:val="20"/>
        </w:rPr>
        <w:t xml:space="preserve"> dans l’entreprise, nature et durée du contrat </w:t>
      </w:r>
    </w:p>
    <w:p>
      <w:pPr>
        <w:pStyle w:val="Normal"/>
        <w:widowControl w:val="false"/>
        <w:bidi w:val="0"/>
        <w:spacing w:lineRule="auto" w:line="240" w:before="0" w:after="0"/>
        <w:ind w:hanging="0" w:start="170" w:end="0"/>
        <w:jc w:val="both"/>
        <w:rPr>
          <w:rFonts w:ascii="Arial" w:hAnsi="Arial"/>
          <w:b/>
          <w:bCs/>
          <w:sz w:val="24"/>
          <w:szCs w:val="24"/>
        </w:rPr>
      </w:pPr>
      <w:r>
        <w:rPr/>
      </w:r>
    </w:p>
    <w:p>
      <w:pPr>
        <w:pStyle w:val="Normal"/>
        <w:keepLines/>
        <w:widowControl w:val="false"/>
        <w:spacing w:lineRule="auto" w:line="240" w:before="0" w:after="0"/>
        <w:ind w:firstLine="708" w:start="708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b/>
          <w:bCs/>
          <w:sz w:val="20"/>
          <w:szCs w:val="20"/>
          <w:lang w:eastAsia="fr-FR"/>
        </w:rPr>
        <w:t>Tout renseignement jugé utile.</w:t>
      </w:r>
    </w:p>
    <w:sectPr>
      <w:footerReference w:type="default" r:id="rId3"/>
      <w:type w:val="nextPage"/>
      <w:pgSz w:w="11906" w:h="16838"/>
      <w:pgMar w:left="1417" w:right="969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auto"/>
    <w:pitch w:val="default"/>
  </w:font>
  <w:font w:name="Times New Roman">
    <w:charset w:val="00" w:characterSet="windows-1252"/>
    <w:family w:val="auto"/>
    <w:pitch w:val="default"/>
  </w:font>
  <w:font w:name="Arial">
    <w:charset w:val="00" w:characterSet="windows-1252"/>
    <w:family w:val="auto"/>
    <w:pitch w:val="default"/>
  </w:font>
  <w:font w:name="Segoe UI">
    <w:charset w:val="00" w:characterSet="windows-1252"/>
    <w:family w:val="auto"/>
    <w:pitch w:val="default"/>
  </w:font>
  <w:font w:name="Marianne">
    <w:charset w:val="00" w:characterSet="windows-1252"/>
    <w:family w:val="auto"/>
    <w:pitch w:val="default"/>
  </w:font>
  <w:font w:name="Trebuchet MS">
    <w:charset w:val="00" w:characterSet="windows-1252"/>
    <w:family w:val="auto"/>
    <w:pitch w:val="default"/>
  </w:font>
  <w:font w:name="Liberation Sans">
    <w:altName w:val="Arial"/>
    <w:charset w:val="00" w:characterSet="windows-1252"/>
    <w:family w:val="auto"/>
    <w:pitch w:val="default"/>
  </w:font>
  <w:font w:name="Wingdings">
    <w:charset w:val="02"/>
    <w:family w:val="auto"/>
    <w:pitch w:val="default"/>
  </w:font>
  <w:font w:name="Wingdings">
    <w:charset w:val="02"/>
    <w:family w:val="auto"/>
    <w:pitch w:val="variable"/>
  </w:font>
  <w:font w:name="Courier New">
    <w:charset w:val="00" w:characterSet="windows-1252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decimal"/>
      <w:lvlText w:val="%1.%2."/>
      <w:lvlJc w:val="start"/>
      <w:pPr>
        <w:tabs>
          <w:tab w:val="num" w:pos="0"/>
        </w:tabs>
        <w:ind w:start="792" w:hanging="432"/>
      </w:pPr>
      <w:rPr>
        <w:b/>
      </w:rPr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1224" w:hanging="504"/>
      </w:pPr>
      <w:rPr/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1728" w:hanging="648"/>
      </w:pPr>
      <w:rPr/>
    </w:lvl>
    <w:lvl w:ilvl="4">
      <w:start w:val="1"/>
      <w:numFmt w:val="decimal"/>
      <w:lvlText w:val="%1.%2.%3.%4.%5."/>
      <w:lvlJc w:val="start"/>
      <w:pPr>
        <w:tabs>
          <w:tab w:val="num" w:pos="0"/>
        </w:tabs>
        <w:ind w:start="2232" w:hanging="792"/>
      </w:pPr>
      <w:rPr/>
    </w:lvl>
    <w:lvl w:ilvl="5">
      <w:start w:val="1"/>
      <w:numFmt w:val="decimal"/>
      <w:lvlText w:val="%1.%2.%3.%4.%5.%6."/>
      <w:lvlJc w:val="start"/>
      <w:pPr>
        <w:tabs>
          <w:tab w:val="num" w:pos="0"/>
        </w:tabs>
        <w:ind w:start="2736" w:hanging="936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3240" w:hanging="1080"/>
      </w:pPr>
      <w:rPr/>
    </w:lvl>
    <w:lvl w:ilvl="7">
      <w:start w:val="1"/>
      <w:numFmt w:val="decimal"/>
      <w:lvlText w:val="%1.%2.%3.%4.%5.%6.%7.%8."/>
      <w:lvlJc w:val="start"/>
      <w:pPr>
        <w:tabs>
          <w:tab w:val="num" w:pos="0"/>
        </w:tabs>
        <w:ind w:start="3744" w:hanging="1224"/>
      </w:pPr>
      <w:rPr/>
    </w:lvl>
    <w:lvl w:ilvl="8">
      <w:start w:val="1"/>
      <w:numFmt w:val="decimal"/>
      <w:lvlText w:val="%1.%2.%3.%4.%5.%6.%7.%8.%9."/>
      <w:lvlJc w:val="start"/>
      <w:pPr>
        <w:tabs>
          <w:tab w:val="num" w:pos="0"/>
        </w:tabs>
        <w:ind w:start="4320" w:hanging="1440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0"/>
        </w:tabs>
        <w:ind w:start="78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0"/>
        </w:tabs>
        <w:ind w:start="150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54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"/>
      <w:lvlJc w:val="start"/>
      <w:pPr>
        <w:tabs>
          <w:tab w:val="num" w:pos="0"/>
        </w:tabs>
        <w:ind w:star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decimal"/>
      <w:suff w:val="space"/>
      <w:lvlText w:val="%1.%2."/>
      <w:lvlJc w:val="start"/>
      <w:pPr>
        <w:tabs>
          <w:tab w:val="num" w:pos="0"/>
        </w:tabs>
        <w:ind w:start="680" w:hanging="320"/>
      </w:pPr>
      <w:rPr/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1224" w:hanging="504"/>
      </w:pPr>
      <w:rPr/>
    </w:lvl>
    <w:lvl w:ilvl="3">
      <w:start w:val="1"/>
      <w:numFmt w:val="decimal"/>
      <w:suff w:val="space"/>
      <w:lvlText w:val="%1.%2.%3.%4."/>
      <w:lvlJc w:val="start"/>
      <w:pPr>
        <w:tabs>
          <w:tab w:val="num" w:pos="0"/>
        </w:tabs>
        <w:ind w:start="1728" w:hanging="648"/>
      </w:pPr>
      <w:rPr/>
    </w:lvl>
    <w:lvl w:ilvl="4">
      <w:start w:val="1"/>
      <w:numFmt w:val="decimal"/>
      <w:lvlText w:val="%1.%2.%3.%4.%5."/>
      <w:lvlJc w:val="start"/>
      <w:pPr>
        <w:tabs>
          <w:tab w:val="num" w:pos="0"/>
        </w:tabs>
        <w:ind w:start="2232" w:hanging="792"/>
      </w:pPr>
      <w:rPr/>
    </w:lvl>
    <w:lvl w:ilvl="5">
      <w:start w:val="1"/>
      <w:numFmt w:val="decimal"/>
      <w:lvlText w:val="%1.%2.%3.%4.%5.%6."/>
      <w:lvlJc w:val="start"/>
      <w:pPr>
        <w:tabs>
          <w:tab w:val="num" w:pos="0"/>
        </w:tabs>
        <w:ind w:start="2736" w:hanging="936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3240" w:hanging="1080"/>
      </w:pPr>
      <w:rPr/>
    </w:lvl>
    <w:lvl w:ilvl="7">
      <w:start w:val="1"/>
      <w:numFmt w:val="decimal"/>
      <w:lvlText w:val="%1.%2.%3.%4.%5.%6.%7.%8."/>
      <w:lvlJc w:val="start"/>
      <w:pPr>
        <w:tabs>
          <w:tab w:val="num" w:pos="0"/>
        </w:tabs>
        <w:ind w:start="3744" w:hanging="1224"/>
      </w:pPr>
      <w:rPr/>
    </w:lvl>
    <w:lvl w:ilvl="8">
      <w:start w:val="1"/>
      <w:numFmt w:val="decimal"/>
      <w:lvlText w:val="%1.%2.%3.%4.%5.%6.%7.%8.%9."/>
      <w:lvlJc w:val="start"/>
      <w:pPr>
        <w:tabs>
          <w:tab w:val="num" w:pos="0"/>
        </w:tabs>
        <w:ind w:start="4320" w:hanging="1440"/>
      </w:pPr>
      <w:rPr/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0"/>
        </w:tabs>
        <w:ind w:star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188" w:hanging="360"/>
      </w:pPr>
      <w:rPr>
        <w:rFonts w:ascii="Wingdings" w:hAnsi="Wingdings" w:cs="Wingdings" w:hint="default"/>
      </w:rPr>
    </w:lvl>
  </w:abstractNum>
  <w:abstractNum w:abstractNumId="7">
    <w:lvl w:ilvl="0">
      <w:start w:val="3"/>
      <w:numFmt w:val="decimal"/>
      <w:lvlText w:val="%1.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decimal"/>
      <w:lvlText w:val="%1.%2."/>
      <w:lvlJc w:val="start"/>
      <w:pPr>
        <w:tabs>
          <w:tab w:val="num" w:pos="0"/>
        </w:tabs>
        <w:ind w:start="792" w:hanging="432"/>
      </w:pPr>
      <w:rPr/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1224" w:hanging="504"/>
      </w:pPr>
      <w:rPr/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1728" w:hanging="648"/>
      </w:pPr>
      <w:rPr/>
    </w:lvl>
    <w:lvl w:ilvl="4">
      <w:start w:val="1"/>
      <w:numFmt w:val="decimal"/>
      <w:lvlText w:val="%1.%2.%3.%4.%5."/>
      <w:lvlJc w:val="start"/>
      <w:pPr>
        <w:tabs>
          <w:tab w:val="num" w:pos="0"/>
        </w:tabs>
        <w:ind w:start="2232" w:hanging="792"/>
      </w:pPr>
      <w:rPr/>
    </w:lvl>
    <w:lvl w:ilvl="5">
      <w:start w:val="1"/>
      <w:numFmt w:val="decimal"/>
      <w:lvlText w:val="%1.%2.%3.%4.%5.%6."/>
      <w:lvlJc w:val="start"/>
      <w:pPr>
        <w:tabs>
          <w:tab w:val="num" w:pos="0"/>
        </w:tabs>
        <w:ind w:start="2736" w:hanging="936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3240" w:hanging="1080"/>
      </w:pPr>
      <w:rPr/>
    </w:lvl>
    <w:lvl w:ilvl="7">
      <w:start w:val="1"/>
      <w:numFmt w:val="decimal"/>
      <w:lvlText w:val="%1.%2.%3.%4.%5.%6.%7.%8."/>
      <w:lvlJc w:val="start"/>
      <w:pPr>
        <w:tabs>
          <w:tab w:val="num" w:pos="0"/>
        </w:tabs>
        <w:ind w:start="3744" w:hanging="1224"/>
      </w:pPr>
      <w:rPr/>
    </w:lvl>
    <w:lvl w:ilvl="8">
      <w:start w:val="1"/>
      <w:numFmt w:val="decimal"/>
      <w:lvlText w:val="%1.%2.%3.%4.%5.%6.%7.%8.%9."/>
      <w:lvlJc w:val="start"/>
      <w:pPr>
        <w:tabs>
          <w:tab w:val="num" w:pos="0"/>
        </w:tabs>
        <w:ind w:start="4320" w:hanging="1440"/>
      </w:pPr>
      <w:rPr/>
    </w:lvl>
  </w:abstractNum>
  <w:abstractNum w:abstractNumId="8">
    <w:lvl w:ilvl="0">
      <w:start w:val="1"/>
      <w:numFmt w:val="bullet"/>
      <w:lvlText w:val=""/>
      <w:lvlJc w:val="start"/>
      <w:pPr>
        <w:tabs>
          <w:tab w:val="num" w:pos="0"/>
        </w:tabs>
        <w:ind w:start="177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536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start"/>
    </w:pPr>
    <w:rPr>
      <w:rFonts w:ascii="Calibri" w:hAnsi="Calibri" w:eastAsia="Calibri" w:cs="Tahoma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240" w:after="60"/>
      <w:ind w:hanging="432" w:start="432"/>
      <w:outlineLvl w:val="0"/>
    </w:pPr>
    <w:rPr>
      <w:rFonts w:ascii="Times New Roman" w:hAnsi="Times New Roman" w:eastAsia="Times New Roman" w:cs="Times New Roman"/>
      <w:b/>
      <w:kern w:val="2"/>
      <w:sz w:val="26"/>
      <w:szCs w:val="20"/>
      <w:lang w:eastAsia="ar-SA"/>
    </w:rPr>
  </w:style>
  <w:style w:type="paragraph" w:styleId="Heading2">
    <w:name w:val="Heading 2"/>
    <w:basedOn w:val="Normal"/>
    <w:next w:val="Normal"/>
    <w:link w:val="Titre2Car"/>
    <w:qFormat/>
    <w:pPr>
      <w:keepNext w:val="true"/>
      <w:widowControl w:val="false"/>
      <w:numPr>
        <w:ilvl w:val="1"/>
        <w:numId w:val="5"/>
      </w:numPr>
      <w:spacing w:lineRule="auto" w:line="240" w:before="120" w:after="60"/>
      <w:ind w:end="-143"/>
      <w:contextualSpacing/>
      <w:jc w:val="both"/>
      <w:outlineLvl w:val="1"/>
    </w:pPr>
    <w:rPr>
      <w:rFonts w:eastAsia="Times New Roman" w:cs="Calibri"/>
      <w:b/>
      <w:u w:val="single"/>
      <w:lang w:eastAsia="fr-FR"/>
    </w:rPr>
  </w:style>
  <w:style w:type="paragraph" w:styleId="Heading3">
    <w:name w:val="Heading 3"/>
    <w:basedOn w:val="Normal"/>
    <w:next w:val="Normal"/>
    <w:link w:val="Titre3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240" w:after="60"/>
      <w:ind w:start="567"/>
      <w:outlineLvl w:val="2"/>
    </w:pPr>
    <w:rPr>
      <w:rFonts w:ascii="Times New Roman" w:hAnsi="Times New Roman" w:eastAsia="Times New Roman" w:cs="Times New Roman"/>
      <w:szCs w:val="20"/>
      <w:u w:val="single"/>
      <w:lang w:eastAsia="ar-SA"/>
    </w:rPr>
  </w:style>
  <w:style w:type="paragraph" w:styleId="Heading4">
    <w:name w:val="Heading 4"/>
    <w:basedOn w:val="Normal"/>
    <w:next w:val="Normal"/>
    <w:link w:val="Titre4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240" w:after="60"/>
      <w:ind w:hanging="864" w:start="864"/>
      <w:outlineLvl w:val="3"/>
    </w:pPr>
    <w:rPr>
      <w:rFonts w:ascii="Times New Roman" w:hAnsi="Times New Roman" w:eastAsia="Times New Roman" w:cs="Times New Roman"/>
      <w:b/>
      <w:i/>
      <w:szCs w:val="20"/>
      <w:lang w:eastAsia="ar-SA"/>
    </w:rPr>
  </w:style>
  <w:style w:type="paragraph" w:styleId="Heading5">
    <w:name w:val="Heading 5"/>
    <w:basedOn w:val="Normal"/>
    <w:next w:val="Normal"/>
    <w:link w:val="Titre5Car"/>
    <w:qFormat/>
    <w:pPr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240" w:after="60"/>
      <w:ind w:hanging="1008" w:start="1008"/>
      <w:outlineLvl w:val="4"/>
    </w:pPr>
    <w:rPr>
      <w:rFonts w:ascii="Arial" w:hAnsi="Arial" w:eastAsia="Times New Roman" w:cs="Arial"/>
      <w:szCs w:val="20"/>
      <w:lang w:eastAsia="ar-SA"/>
    </w:rPr>
  </w:style>
  <w:style w:type="paragraph" w:styleId="Heading6">
    <w:name w:val="Heading 6"/>
    <w:basedOn w:val="Normal"/>
    <w:next w:val="Normal"/>
    <w:link w:val="Titre6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0" w:after="240"/>
      <w:ind w:hanging="1152" w:start="1152"/>
      <w:jc w:val="center"/>
      <w:outlineLvl w:val="5"/>
    </w:pPr>
    <w:rPr>
      <w:rFonts w:ascii="Times New Roman" w:hAnsi="Times New Roman" w:eastAsia="Times New Roman" w:cs="Times New Roman"/>
      <w:b/>
      <w:sz w:val="48"/>
      <w:szCs w:val="20"/>
      <w:u w:val="single"/>
      <w:lang w:eastAsia="ar-SA"/>
    </w:rPr>
  </w:style>
  <w:style w:type="paragraph" w:styleId="Heading7">
    <w:name w:val="Heading 7"/>
    <w:basedOn w:val="Normal"/>
    <w:next w:val="Normal"/>
    <w:link w:val="Titre7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0" w:after="0"/>
      <w:ind w:hanging="1296" w:start="1296"/>
      <w:jc w:val="center"/>
      <w:outlineLvl w:val="6"/>
    </w:pPr>
    <w:rPr>
      <w:rFonts w:ascii="Arial" w:hAnsi="Arial" w:eastAsia="Times New Roman" w:cs="Arial"/>
      <w:b/>
      <w:sz w:val="20"/>
      <w:szCs w:val="20"/>
      <w:lang w:eastAsia="ar-SA"/>
    </w:rPr>
  </w:style>
  <w:style w:type="paragraph" w:styleId="Heading8">
    <w:name w:val="Heading 8"/>
    <w:basedOn w:val="Normal"/>
    <w:next w:val="Normal"/>
    <w:link w:val="Titre8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0" w:after="0"/>
      <w:ind w:hanging="1440" w:start="1440"/>
      <w:jc w:val="center"/>
      <w:outlineLvl w:val="7"/>
    </w:pPr>
    <w:rPr>
      <w:rFonts w:ascii="Arial" w:hAnsi="Arial" w:eastAsia="Times New Roman" w:cs="Arial"/>
      <w:b/>
      <w:szCs w:val="20"/>
      <w:lang w:eastAsia="ar-SA"/>
    </w:rPr>
  </w:style>
  <w:style w:type="paragraph" w:styleId="Heading9">
    <w:name w:val="Heading 9"/>
    <w:basedOn w:val="Normal"/>
    <w:next w:val="Normal"/>
    <w:link w:val="Titre9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0" w:after="0"/>
      <w:ind w:hanging="1584" w:start="1584"/>
      <w:jc w:val="center"/>
      <w:outlineLvl w:val="8"/>
    </w:pPr>
    <w:rPr>
      <w:rFonts w:ascii="Arial" w:hAnsi="Arial" w:eastAsia="Times New Roman" w:cs="Arial"/>
      <w:sz w:val="28"/>
      <w:szCs w:val="20"/>
      <w:lang w:eastAsia="ar-SA"/>
    </w:rPr>
  </w:style>
  <w:style w:type="character" w:styleId="DefaultParagraphFont">
    <w:name w:val="Default Paragraph Font"/>
    <w:qFormat/>
    <w:rPr/>
  </w:style>
  <w:style w:type="character" w:styleId="CorpsdetexteCar">
    <w:name w:val="Corps de texte Car"/>
    <w:basedOn w:val="DefaultParagraphFont"/>
    <w:qFormat/>
    <w:rPr>
      <w:rFonts w:ascii="Times New Roman" w:hAnsi="Times New Roman" w:eastAsia="Times New Roman" w:cs="Times New Roman"/>
      <w:b/>
      <w:szCs w:val="20"/>
      <w:lang w:eastAsia="ar-SA"/>
    </w:rPr>
  </w:style>
  <w:style w:type="character" w:styleId="En-tteCar">
    <w:name w:val="En-tête Car"/>
    <w:basedOn w:val="DefaultParagraphFont"/>
    <w:qFormat/>
    <w:rPr>
      <w:rFonts w:ascii="Times New Roman" w:hAnsi="Times New Roman" w:eastAsia="Times New Roman" w:cs="Times New Roman"/>
      <w:szCs w:val="20"/>
      <w:lang w:eastAsia="ar-SA"/>
    </w:rPr>
  </w:style>
  <w:style w:type="character" w:styleId="WW8Num1z2">
    <w:name w:val="WW8Num1z2"/>
    <w:qFormat/>
    <w:rPr/>
  </w:style>
  <w:style w:type="character" w:styleId="Titre2Car">
    <w:name w:val="Titre 2 Car"/>
    <w:basedOn w:val="DefaultParagraphFont"/>
    <w:qFormat/>
    <w:rPr>
      <w:rFonts w:eastAsia="Times New Roman" w:cs="Calibri"/>
      <w:b/>
      <w:u w:val="single"/>
      <w:lang w:eastAsia="fr-FR"/>
    </w:rPr>
  </w:style>
  <w:style w:type="character" w:styleId="Titre1Car">
    <w:name w:val="Titre 1 Car"/>
    <w:basedOn w:val="DefaultParagraphFont"/>
    <w:qFormat/>
    <w:rPr>
      <w:rFonts w:ascii="Times New Roman" w:hAnsi="Times New Roman" w:eastAsia="Times New Roman" w:cs="Times New Roman"/>
      <w:b/>
      <w:kern w:val="2"/>
      <w:sz w:val="26"/>
      <w:szCs w:val="20"/>
      <w:lang w:eastAsia="ar-SA"/>
    </w:rPr>
  </w:style>
  <w:style w:type="character" w:styleId="Titre3Car">
    <w:name w:val="Titre 3 Car"/>
    <w:basedOn w:val="DefaultParagraphFont"/>
    <w:qFormat/>
    <w:rPr>
      <w:rFonts w:ascii="Times New Roman" w:hAnsi="Times New Roman" w:eastAsia="Times New Roman" w:cs="Times New Roman"/>
      <w:szCs w:val="20"/>
      <w:u w:val="single"/>
      <w:lang w:eastAsia="ar-SA"/>
    </w:rPr>
  </w:style>
  <w:style w:type="character" w:styleId="Titre4Car">
    <w:name w:val="Titre 4 Car"/>
    <w:basedOn w:val="DefaultParagraphFont"/>
    <w:qFormat/>
    <w:rPr>
      <w:rFonts w:ascii="Times New Roman" w:hAnsi="Times New Roman" w:eastAsia="Times New Roman" w:cs="Times New Roman"/>
      <w:b/>
      <w:i/>
      <w:szCs w:val="20"/>
      <w:lang w:eastAsia="ar-SA"/>
    </w:rPr>
  </w:style>
  <w:style w:type="character" w:styleId="Titre5Car">
    <w:name w:val="Titre 5 Car"/>
    <w:basedOn w:val="DefaultParagraphFont"/>
    <w:qFormat/>
    <w:rPr>
      <w:rFonts w:ascii="Arial" w:hAnsi="Arial" w:eastAsia="Times New Roman" w:cs="Arial"/>
      <w:szCs w:val="20"/>
      <w:lang w:eastAsia="ar-SA"/>
    </w:rPr>
  </w:style>
  <w:style w:type="character" w:styleId="Titre6Car">
    <w:name w:val="Titre 6 Car"/>
    <w:basedOn w:val="DefaultParagraphFont"/>
    <w:qFormat/>
    <w:rPr>
      <w:rFonts w:ascii="Times New Roman" w:hAnsi="Times New Roman" w:eastAsia="Times New Roman" w:cs="Times New Roman"/>
      <w:b/>
      <w:sz w:val="48"/>
      <w:szCs w:val="20"/>
      <w:u w:val="single"/>
      <w:lang w:eastAsia="ar-SA"/>
    </w:rPr>
  </w:style>
  <w:style w:type="character" w:styleId="Titre7Car">
    <w:name w:val="Titre 7 Car"/>
    <w:basedOn w:val="DefaultParagraphFont"/>
    <w:qFormat/>
    <w:rPr>
      <w:rFonts w:ascii="Arial" w:hAnsi="Arial" w:eastAsia="Times New Roman" w:cs="Arial"/>
      <w:b/>
      <w:sz w:val="20"/>
      <w:szCs w:val="20"/>
      <w:lang w:eastAsia="ar-SA"/>
    </w:rPr>
  </w:style>
  <w:style w:type="character" w:styleId="Titre8Car">
    <w:name w:val="Titre 8 Car"/>
    <w:basedOn w:val="DefaultParagraphFont"/>
    <w:qFormat/>
    <w:rPr>
      <w:rFonts w:ascii="Arial" w:hAnsi="Arial" w:eastAsia="Times New Roman" w:cs="Arial"/>
      <w:b/>
      <w:szCs w:val="20"/>
      <w:lang w:val="fr-FR" w:eastAsia="ar-SA"/>
    </w:rPr>
  </w:style>
  <w:style w:type="character" w:styleId="Titre9Car">
    <w:name w:val="Titre 9 Car"/>
    <w:basedOn w:val="DefaultParagraphFont"/>
    <w:qFormat/>
    <w:rPr>
      <w:rFonts w:ascii="Arial" w:hAnsi="Arial" w:eastAsia="Times New Roman" w:cs="Arial"/>
      <w:sz w:val="28"/>
      <w:szCs w:val="20"/>
      <w:lang w:eastAsia="ar-SA"/>
    </w:rPr>
  </w:style>
  <w:style w:type="character" w:styleId="WW8Num1z6">
    <w:name w:val="WW8Num1z6"/>
    <w:qFormat/>
    <w:rPr/>
  </w:style>
  <w:style w:type="character" w:styleId="TextedebullesCar">
    <w:name w:val="Texte de bulles Car"/>
    <w:basedOn w:val="DefaultParagraphFont"/>
    <w:link w:val="BalloonText"/>
    <w:qFormat/>
    <w:rPr>
      <w:rFonts w:ascii="Segoe UI" w:hAnsi="Segoe UI" w:cs="Segoe UI"/>
      <w:sz w:val="18"/>
      <w:szCs w:val="18"/>
    </w:rPr>
  </w:style>
  <w:style w:type="character" w:styleId="PieddepageCar">
    <w:name w:val="Pied de page Car"/>
    <w:basedOn w:val="DefaultParagraphFont"/>
    <w:qFormat/>
    <w:rPr/>
  </w:style>
  <w:style w:type="character" w:styleId="Hyperlink">
    <w:name w:val="Hyperlink"/>
    <w:rPr>
      <w:color w:val="000080"/>
      <w:u w:val="single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szCs w:val="20"/>
      <w:lang w:eastAsia="ar-SA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pPr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RedTxt">
    <w:name w:val="RedTxt"/>
    <w:basedOn w:val="Normal"/>
    <w:qFormat/>
    <w:pPr>
      <w:keepLines/>
      <w:widowControl w:val="false"/>
      <w:spacing w:lineRule="auto" w:line="240" w:before="0" w:after="0"/>
    </w:pPr>
    <w:rPr>
      <w:rFonts w:ascii="Arial" w:hAnsi="Arial" w:eastAsia="Times New Roman" w:cs="Times New Roman"/>
      <w:sz w:val="18"/>
      <w:szCs w:val="20"/>
      <w:lang w:eastAsia="fr-FR"/>
    </w:rPr>
  </w:style>
  <w:style w:type="paragraph" w:styleId="ListParagraph">
    <w:name w:val="List Paragraph"/>
    <w:basedOn w:val="Normal"/>
    <w:qFormat/>
    <w:pPr>
      <w:spacing w:before="0" w:after="160"/>
      <w:ind w:start="720"/>
      <w:contextualSpacing/>
    </w:pPr>
    <w:rPr/>
  </w:style>
  <w:style w:type="paragraph" w:styleId="Contenudetableau">
    <w:name w:val="Contenu de tableau"/>
    <w:basedOn w:val="Normal"/>
    <w:qFormat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Niveau2">
    <w:name w:val="Niveau 2"/>
    <w:basedOn w:val="Normal"/>
    <w:qFormat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sz w:val="20"/>
      <w:szCs w:val="20"/>
      <w:lang w:eastAsia="ar-SA"/>
    </w:rPr>
  </w:style>
  <w:style w:type="paragraph" w:styleId="BalloonText">
    <w:name w:val="Balloon Text"/>
    <w:basedOn w:val="Normal"/>
    <w:link w:val="TextedebullesCar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PieddepageCar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ntenudecadre">
    <w:name w:val="Contenu de cadre"/>
    <w:basedOn w:val="Normal"/>
    <w:qFormat/>
    <w:pPr/>
    <w:rPr/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56"/>
      <w:szCs w:val="56"/>
    </w:rPr>
  </w:style>
  <w:style w:type="numbering" w:styleId="Pasdeliste">
    <w:name w:val="Pas de liste"/>
    <w:qFormat/>
  </w:style>
  <w:style w:type="numbering" w:styleId="Numrotation123">
    <w:name w:val="Numérotation 1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3</Pages>
  <Words>435</Words>
  <Characters>2600</Characters>
  <CharactersWithSpaces>2991</CharactersWithSpaces>
  <Paragraphs>63</Paragraphs>
  <Company>Conseil Departemental de la Haute-Loire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2026-02-06T20:37:59Z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